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5A" w:rsidRPr="0022235A" w:rsidRDefault="0022235A" w:rsidP="0022235A">
      <w:pPr>
        <w:pStyle w:val="a3"/>
        <w:spacing w:after="0" w:afterAutospacing="0"/>
        <w:rPr>
          <w:b/>
          <w:color w:val="000000"/>
          <w:sz w:val="28"/>
          <w:szCs w:val="28"/>
        </w:rPr>
      </w:pPr>
      <w:r w:rsidRPr="0022235A">
        <w:rPr>
          <w:b/>
          <w:color w:val="000000"/>
          <w:sz w:val="28"/>
          <w:szCs w:val="28"/>
        </w:rPr>
        <w:t>Анализ монитор</w:t>
      </w:r>
      <w:r w:rsidR="00575975">
        <w:rPr>
          <w:b/>
          <w:color w:val="000000"/>
          <w:sz w:val="28"/>
          <w:szCs w:val="28"/>
        </w:rPr>
        <w:t>инга за 202</w:t>
      </w:r>
      <w:r w:rsidR="004B3ABE">
        <w:rPr>
          <w:b/>
          <w:color w:val="000000"/>
          <w:sz w:val="28"/>
          <w:szCs w:val="28"/>
        </w:rPr>
        <w:t xml:space="preserve">3-2024 </w:t>
      </w:r>
      <w:proofErr w:type="spellStart"/>
      <w:r w:rsidR="004B3ABE">
        <w:rPr>
          <w:b/>
          <w:color w:val="000000"/>
          <w:sz w:val="28"/>
          <w:szCs w:val="28"/>
        </w:rPr>
        <w:t>у.г</w:t>
      </w:r>
      <w:proofErr w:type="spellEnd"/>
      <w:r w:rsidR="004B3ABE">
        <w:rPr>
          <w:b/>
          <w:color w:val="000000"/>
          <w:sz w:val="28"/>
          <w:szCs w:val="28"/>
        </w:rPr>
        <w:t xml:space="preserve"> группы №4 «</w:t>
      </w:r>
      <w:r w:rsidR="004B3ABE">
        <w:rPr>
          <w:b/>
          <w:color w:val="000000"/>
          <w:sz w:val="28"/>
          <w:szCs w:val="28"/>
          <w:lang w:val="kk-KZ"/>
        </w:rPr>
        <w:t>Болашақ</w:t>
      </w:r>
      <w:r w:rsidRPr="0022235A">
        <w:rPr>
          <w:b/>
          <w:color w:val="000000"/>
          <w:sz w:val="28"/>
          <w:szCs w:val="28"/>
        </w:rPr>
        <w:t>»</w:t>
      </w:r>
    </w:p>
    <w:p w:rsidR="0022235A" w:rsidRPr="0022235A" w:rsidRDefault="0022235A" w:rsidP="0022235A">
      <w:pPr>
        <w:pStyle w:val="a3"/>
        <w:spacing w:after="0" w:afterAutospacing="0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</w:rPr>
        <w:t>По результатам полученных данных стартового, промежуточного, итогового мониторинга у воспитанников подготовительной группы следует, что показатели по всем образовательным областям улучшились. Этот результат получен благодаря осуществлению дифференцированного подх</w:t>
      </w:r>
      <w:r w:rsidR="00575975">
        <w:rPr>
          <w:color w:val="000000"/>
          <w:sz w:val="28"/>
          <w:szCs w:val="28"/>
        </w:rPr>
        <w:t>о</w:t>
      </w:r>
      <w:r w:rsidRPr="0022235A">
        <w:rPr>
          <w:color w:val="000000"/>
          <w:sz w:val="28"/>
          <w:szCs w:val="28"/>
        </w:rPr>
        <w:t>да</w:t>
      </w:r>
    </w:p>
    <w:p w:rsidR="0022235A" w:rsidRPr="0022235A" w:rsidRDefault="0022235A" w:rsidP="0022235A">
      <w:pPr>
        <w:pStyle w:val="a3"/>
        <w:spacing w:after="0" w:afterAutospacing="0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</w:rPr>
        <w:t>Подход в подборе форм организации, методов и приемов воспитания и развития воспитанников группы, а также созданию педагогических условий при организации образовательного процесса в группе:</w:t>
      </w:r>
    </w:p>
    <w:p w:rsidR="0022235A" w:rsidRPr="0022235A" w:rsidRDefault="0022235A" w:rsidP="0022235A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  <w:bdr w:val="none" w:sz="0" w:space="0" w:color="auto" w:frame="1"/>
        </w:rPr>
        <w:t>— систематическая работа по формированию целостной картины.</w:t>
      </w:r>
    </w:p>
    <w:p w:rsidR="0022235A" w:rsidRPr="0022235A" w:rsidRDefault="0022235A" w:rsidP="0022235A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  <w:bdr w:val="none" w:sz="0" w:space="0" w:color="auto" w:frame="1"/>
        </w:rPr>
        <w:t>— систематическая работа по развитию речи;</w:t>
      </w:r>
    </w:p>
    <w:p w:rsidR="0022235A" w:rsidRPr="0022235A" w:rsidRDefault="0022235A" w:rsidP="0022235A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  <w:bdr w:val="none" w:sz="0" w:space="0" w:color="auto" w:frame="1"/>
        </w:rPr>
        <w:t>— тесная работа с родителями;</w:t>
      </w:r>
    </w:p>
    <w:p w:rsidR="0022235A" w:rsidRPr="0022235A" w:rsidRDefault="0022235A" w:rsidP="0022235A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  <w:bdr w:val="none" w:sz="0" w:space="0" w:color="auto" w:frame="1"/>
        </w:rPr>
        <w:t>— создание развивающей среды в группе для развития любознательности, активности, инициативы;</w:t>
      </w:r>
    </w:p>
    <w:p w:rsidR="0022235A" w:rsidRPr="0022235A" w:rsidRDefault="0022235A" w:rsidP="0022235A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  <w:bdr w:val="none" w:sz="0" w:space="0" w:color="auto" w:frame="1"/>
        </w:rPr>
        <w:t>— наличие интересного материала по лексическим темам;</w:t>
      </w:r>
    </w:p>
    <w:p w:rsidR="0022235A" w:rsidRPr="0022235A" w:rsidRDefault="0022235A" w:rsidP="0022235A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  <w:bdr w:val="none" w:sz="0" w:space="0" w:color="auto" w:frame="1"/>
        </w:rPr>
        <w:t>— учёт интересов детей;</w:t>
      </w:r>
    </w:p>
    <w:p w:rsidR="0022235A" w:rsidRPr="0022235A" w:rsidRDefault="0022235A" w:rsidP="0022235A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  <w:bdr w:val="none" w:sz="0" w:space="0" w:color="auto" w:frame="1"/>
        </w:rPr>
        <w:t>— создание и поддержание благоприятной психологической и эмоциональной атмосферы;</w:t>
      </w:r>
    </w:p>
    <w:p w:rsidR="0022235A" w:rsidRPr="0022235A" w:rsidRDefault="0022235A" w:rsidP="0022235A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  <w:bdr w:val="none" w:sz="0" w:space="0" w:color="auto" w:frame="1"/>
        </w:rPr>
        <w:t>— организация и проведение ежедневных дидактические и словесные игры, направленные на развитие логического мышления, памяти, фантазии детей,</w:t>
      </w:r>
    </w:p>
    <w:p w:rsidR="0022235A" w:rsidRPr="0022235A" w:rsidRDefault="0022235A" w:rsidP="0022235A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  <w:bdr w:val="none" w:sz="0" w:space="0" w:color="auto" w:frame="1"/>
        </w:rPr>
        <w:t xml:space="preserve">— организация </w:t>
      </w:r>
      <w:proofErr w:type="gramStart"/>
      <w:r w:rsidRPr="0022235A">
        <w:rPr>
          <w:color w:val="000000"/>
          <w:sz w:val="28"/>
          <w:szCs w:val="28"/>
          <w:bdr w:val="none" w:sz="0" w:space="0" w:color="auto" w:frame="1"/>
        </w:rPr>
        <w:t>систематической</w:t>
      </w:r>
      <w:proofErr w:type="gramEnd"/>
      <w:r w:rsidRPr="0022235A">
        <w:rPr>
          <w:color w:val="000000"/>
          <w:sz w:val="28"/>
          <w:szCs w:val="28"/>
          <w:bdr w:val="none" w:sz="0" w:space="0" w:color="auto" w:frame="1"/>
        </w:rPr>
        <w:t xml:space="preserve"> индивидуальная работа с детьми в соответствии с рекомендациями учителя-логопеда;</w:t>
      </w:r>
    </w:p>
    <w:p w:rsidR="0022235A" w:rsidRPr="0022235A" w:rsidRDefault="0022235A" w:rsidP="0022235A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  <w:bdr w:val="none" w:sz="0" w:space="0" w:color="auto" w:frame="1"/>
        </w:rPr>
        <w:t>— индивидуальная работа с воспитанниками.</w:t>
      </w:r>
    </w:p>
    <w:p w:rsidR="0022235A" w:rsidRPr="0022235A" w:rsidRDefault="0022235A" w:rsidP="0022235A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  <w:bdr w:val="none" w:sz="0" w:space="0" w:color="auto" w:frame="1"/>
        </w:rPr>
        <w:t>Также улучшению результатов организации педагогического процесса способствовал разработка и выполнение индивидуальных образовательных маршрутов, для детей, имеющих низкий уровень освоения программного материала по всем образовательным областям или по некоторым из них.</w:t>
      </w:r>
    </w:p>
    <w:p w:rsidR="0022235A" w:rsidRPr="0022235A" w:rsidRDefault="0022235A" w:rsidP="0022235A">
      <w:pPr>
        <w:pStyle w:val="a3"/>
        <w:spacing w:before="0" w:beforeAutospacing="0" w:after="0" w:afterAutospacing="0"/>
        <w:ind w:right="75"/>
        <w:jc w:val="both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  <w:bdr w:val="none" w:sz="0" w:space="0" w:color="auto" w:frame="1"/>
        </w:rPr>
        <w:t>С детьми проводилась индивидуальная работа посредством подобранных дидактических игр, упражнений, других форм взаимодействия с детьми, направленных на формирование необходимых навыков, умений, представлений соответствующего содержания. Для оптимального достижения результата по освоению программы организовано взаимодействие специалистов в процессе индивидуальной помощи, сотрудничество с родителями для их помогающего взаимодействия с детьми.</w:t>
      </w:r>
    </w:p>
    <w:p w:rsidR="0022235A" w:rsidRPr="0022235A" w:rsidRDefault="0022235A" w:rsidP="0022235A">
      <w:pPr>
        <w:pStyle w:val="a3"/>
        <w:spacing w:after="0" w:afterAutospacing="0"/>
        <w:rPr>
          <w:color w:val="000000"/>
          <w:sz w:val="28"/>
          <w:szCs w:val="28"/>
        </w:rPr>
      </w:pPr>
      <w:r w:rsidRPr="0022235A">
        <w:rPr>
          <w:color w:val="000000"/>
          <w:sz w:val="28"/>
          <w:szCs w:val="28"/>
        </w:rPr>
        <w:t> </w:t>
      </w:r>
    </w:p>
    <w:p w:rsidR="0022235A" w:rsidRDefault="0022235A" w:rsidP="0022235A">
      <w:pPr>
        <w:pStyle w:val="a3"/>
        <w:spacing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EE1C79" w:rsidRDefault="00EE1C79"/>
    <w:p w:rsidR="00893200" w:rsidRDefault="00893200"/>
    <w:p w:rsidR="00893200" w:rsidRDefault="00893200"/>
    <w:p w:rsidR="00893200" w:rsidRDefault="00893200"/>
    <w:p w:rsidR="00893200" w:rsidRPr="00893200" w:rsidRDefault="0089320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</w:t>
      </w:r>
      <w:r w:rsidRPr="00893200">
        <w:rPr>
          <w:rFonts w:ascii="Times New Roman" w:hAnsi="Times New Roman" w:cs="Times New Roman"/>
          <w:b/>
          <w:color w:val="000000"/>
          <w:sz w:val="28"/>
          <w:szCs w:val="28"/>
        </w:rPr>
        <w:t>№4 "</w:t>
      </w:r>
      <w:proofErr w:type="spellStart"/>
      <w:r w:rsidRPr="00893200">
        <w:rPr>
          <w:rFonts w:ascii="Times New Roman" w:hAnsi="Times New Roman" w:cs="Times New Roman"/>
          <w:b/>
          <w:color w:val="000000"/>
          <w:sz w:val="28"/>
          <w:szCs w:val="28"/>
        </w:rPr>
        <w:t>Болашақ"тобының</w:t>
      </w:r>
      <w:proofErr w:type="spellEnd"/>
      <w:r w:rsidRPr="00893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2023-2024 ж</w:t>
      </w:r>
      <w:r w:rsidRPr="00893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3200">
        <w:rPr>
          <w:rFonts w:ascii="Times New Roman" w:hAnsi="Times New Roman" w:cs="Times New Roman"/>
          <w:b/>
          <w:color w:val="000000"/>
          <w:sz w:val="28"/>
          <w:szCs w:val="28"/>
        </w:rPr>
        <w:t>мониторингін</w:t>
      </w:r>
      <w:proofErr w:type="spellEnd"/>
      <w:r w:rsidRPr="008932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893200">
        <w:rPr>
          <w:rFonts w:ascii="Times New Roman" w:hAnsi="Times New Roman" w:cs="Times New Roman"/>
          <w:b/>
          <w:color w:val="000000"/>
          <w:sz w:val="28"/>
          <w:szCs w:val="28"/>
        </w:rPr>
        <w:t>талдау</w:t>
      </w:r>
      <w:proofErr w:type="spellEnd"/>
    </w:p>
    <w:p w:rsidR="00893200" w:rsidRPr="00D16DCE" w:rsidRDefault="00D16DCE">
      <w:pPr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Мектеп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алды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>даярл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ық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тобының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тәрбиеленушілерінде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алынған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бастапқы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аралық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қорытынды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мониторинг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деректерінің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н</w:t>
      </w:r>
      <w:proofErr w:type="gram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әтижелері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барлық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білім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беру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салалары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көрсеткіштер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жақсарғаны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жөн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Бұл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нәтиже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сараланған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тәсілді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қолдану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арқылы</w:t>
      </w:r>
      <w:proofErr w:type="spellEnd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93200" w:rsidRPr="00D16DCE">
        <w:rPr>
          <w:rFonts w:ascii="Times New Roman" w:hAnsi="Times New Roman" w:cs="Times New Roman"/>
          <w:color w:val="000000"/>
          <w:sz w:val="26"/>
          <w:szCs w:val="26"/>
        </w:rPr>
        <w:t>алынады</w:t>
      </w:r>
      <w:proofErr w:type="spellEnd"/>
    </w:p>
    <w:p w:rsidR="00D16DCE" w:rsidRPr="00D16DCE" w:rsidRDefault="0089320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Топ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тәрбиеленушілерін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тәрбиелеу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мен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дамытудың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ұйымдастыру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нысандарын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әдістері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мен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әдістерін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таңдаудағы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топта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бі</w:t>
      </w:r>
      <w:proofErr w:type="gram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л</w:t>
      </w:r>
      <w:proofErr w:type="gramEnd"/>
      <w:r w:rsidRPr="00D16DCE">
        <w:rPr>
          <w:rFonts w:ascii="Times New Roman" w:hAnsi="Times New Roman" w:cs="Times New Roman"/>
          <w:color w:val="000000"/>
          <w:sz w:val="26"/>
          <w:szCs w:val="26"/>
        </w:rPr>
        <w:t>ім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беру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процесін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ұйымдастыруда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педагогикалық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жағдайлар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жасаудағы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тәсіл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D16DCE" w:rsidRPr="00D16DCE" w:rsidRDefault="0089320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тұтас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бейнені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қалыптастыру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жүйелі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16DCE" w:rsidRPr="00D16DCE" w:rsidRDefault="0089320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сөйлеуді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дамыту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жүйелі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16DCE" w:rsidRPr="00D16DCE" w:rsidRDefault="0089320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ата-аналармен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тығыз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93200" w:rsidRPr="00D16DCE" w:rsidRDefault="0089320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қызығушылықты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белсенділікті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бастаманы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дамыту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үшін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топта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даму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ортасын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құру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16DCE" w:rsidRPr="00D16DCE" w:rsidRDefault="0089320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лексикалық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тақырыптар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қызықты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материалдардың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болуы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; -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балалардың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мүдделерін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есепке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алу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16DCE" w:rsidRPr="00D16DCE" w:rsidRDefault="0089320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-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қолайлы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психологиялық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эмоционалды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атмосфераны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құру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қолдау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16DCE" w:rsidRPr="00D16DCE" w:rsidRDefault="0089320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балалардың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логикалық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ойлауын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есте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сақтау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қабілетін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қиялын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дамыту</w:t>
      </w:r>
      <w:proofErr w:type="gramEnd"/>
      <w:r w:rsidRPr="00D16DCE">
        <w:rPr>
          <w:rFonts w:ascii="Times New Roman" w:hAnsi="Times New Roman" w:cs="Times New Roman"/>
          <w:color w:val="000000"/>
          <w:sz w:val="26"/>
          <w:szCs w:val="26"/>
        </w:rPr>
        <w:t>ға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бағытталған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күнделікті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дидактикалық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ауызша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ойындарды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ұйымдастыру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өткізу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893200" w:rsidRPr="00D16DCE" w:rsidRDefault="00893200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- логопед-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мұғалімнің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ұсынымдарына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сәйкес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балалармен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жүйелі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жеке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жұмысты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ұйымдастыру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16DCE" w:rsidRPr="00D16DCE" w:rsidRDefault="00D16DC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оқушылармен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жеке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6DCE" w:rsidRPr="00D16DCE" w:rsidRDefault="00D16DC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Сондай-ақ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педагогикалық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процесті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ұйымдастыру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нәтижелерін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жақсартуға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барлық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білім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беру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салаларында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немесе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олардың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кейбіреулері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бағдарламалық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материалды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игеру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деңгейі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төмен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балалар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үшін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жеке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білім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беру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маршруттарын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әзірлеу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және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орындау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ықпал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етті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Балалармен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таңдалған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дидактикалық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ойындар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жаттығулар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тиі</w:t>
      </w:r>
      <w:proofErr w:type="gram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ст</w:t>
      </w:r>
      <w:proofErr w:type="gramEnd"/>
      <w:r w:rsidRPr="00D16DCE">
        <w:rPr>
          <w:rFonts w:ascii="Times New Roman" w:hAnsi="Times New Roman" w:cs="Times New Roman"/>
          <w:color w:val="000000"/>
          <w:sz w:val="26"/>
          <w:szCs w:val="26"/>
        </w:rPr>
        <w:t>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мазмұндағы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қажетті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дағдыларды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дағдыларды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идеяларды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қалыптастыруға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бағытталған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балалармен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өзара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әрекеттесудің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басқа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түрлері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арқылы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жеке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жұмыс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жүргізілді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Бағдарламаны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игеру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бойынша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оңтайлы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нәтижеге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қол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жеткізу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үшін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жеке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көмек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процесінде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мамандардың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өзара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і</w:t>
      </w:r>
      <w:proofErr w:type="gram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с-</w:t>
      </w:r>
      <w:proofErr w:type="gramEnd"/>
      <w:r w:rsidRPr="00D16DCE">
        <w:rPr>
          <w:rFonts w:ascii="Times New Roman" w:hAnsi="Times New Roman" w:cs="Times New Roman"/>
          <w:color w:val="000000"/>
          <w:sz w:val="26"/>
          <w:szCs w:val="26"/>
        </w:rPr>
        <w:t>қимылы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балалармен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көмек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көрсету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үшін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ата-аналармен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ынтымақтастық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16DCE">
        <w:rPr>
          <w:rFonts w:ascii="Times New Roman" w:hAnsi="Times New Roman" w:cs="Times New Roman"/>
          <w:color w:val="000000"/>
          <w:sz w:val="26"/>
          <w:szCs w:val="26"/>
        </w:rPr>
        <w:t>ұйымдастырылған</w:t>
      </w:r>
      <w:proofErr w:type="spellEnd"/>
      <w:r w:rsidRPr="00D16DC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93200" w:rsidRPr="00D16DCE" w:rsidRDefault="00893200">
      <w:pPr>
        <w:rPr>
          <w:rFonts w:ascii="Times New Roman" w:hAnsi="Times New Roman" w:cs="Times New Roman"/>
          <w:sz w:val="26"/>
          <w:szCs w:val="26"/>
        </w:rPr>
      </w:pPr>
      <w:r w:rsidRPr="00D16DC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sectPr w:rsidR="00893200" w:rsidRPr="00D1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235A"/>
    <w:rsid w:val="0022235A"/>
    <w:rsid w:val="004B3ABE"/>
    <w:rsid w:val="00575975"/>
    <w:rsid w:val="00893200"/>
    <w:rsid w:val="00D16DCE"/>
    <w:rsid w:val="00EE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Куандык</cp:lastModifiedBy>
  <cp:revision>5</cp:revision>
  <dcterms:created xsi:type="dcterms:W3CDTF">2024-05-01T14:31:00Z</dcterms:created>
  <dcterms:modified xsi:type="dcterms:W3CDTF">2024-05-13T06:23:00Z</dcterms:modified>
</cp:coreProperties>
</file>